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120"/>
      </w:pPr>
      <w:r>
        <w:rPr>
          <w:rFonts w:ascii="Arial" w:cs="Arial" w:eastAsia="Arial" w:hAnsi="Arial"/>
          <w:b/>
          <w:bCs/>
          <w:color w:val="2F3A8F"/>
          <w:sz w:val="30"/>
          <w:szCs w:val="30"/>
        </w:rPr>
        <w:t xml:space="preserve">Convocatoria de Junta General Ordinaria</w:t>
      </w:r>
    </w:p>
    <w:p>
      <w:pPr>
        <w:spacing w:after="120" w:line="300"/>
      </w:pPr>
      <w:r>
        <w:rPr>
          <w:sz w:val="22"/>
          <w:szCs w:val="22"/>
        </w:rPr>
        <w:t xml:space="preserve">Por orden del presidente de la comunidad, se convoca a todos los propietarios a la </w:t>
      </w:r>
      <w:r>
        <w:rPr>
          <w:b/>
          <w:bCs/>
          <w:sz w:val="22"/>
          <w:szCs w:val="22"/>
        </w:rPr>
        <w:t xml:space="preserve">Junta General Ordinaria</w:t>
      </w:r>
      <w:r>
        <w:rPr>
          <w:sz w:val="22"/>
          <w:szCs w:val="22"/>
        </w:rPr>
        <w:t xml:space="preserve"> que se celebrará en [lugar de la reunión], el día [fecha]: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sz w:val="22"/>
          <w:szCs w:val="22"/>
        </w:rPr>
        <w:t xml:space="preserve">Primera convocatoria:</w:t>
      </w:r>
      <w:r>
        <w:rPr>
          <w:sz w:val="22"/>
          <w:szCs w:val="22"/>
        </w:rPr>
        <w:t xml:space="preserve"> a las [hora] horas.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sz w:val="22"/>
          <w:szCs w:val="22"/>
        </w:rPr>
        <w:t xml:space="preserve">Segunda convocatoria:</w:t>
      </w:r>
      <w:r>
        <w:rPr>
          <w:sz w:val="22"/>
          <w:szCs w:val="22"/>
        </w:rPr>
        <w:t xml:space="preserve"> a las [hora] horas (al menos media hora después de la primera), sin necesidad de quórum.</w:t>
      </w:r>
    </w:p>
    <w:p>
      <w:pPr>
        <w:spacing w:after="120" w:before="240"/>
      </w:pPr>
      <w:r>
        <w:rPr>
          <w:b/>
          <w:bCs/>
          <w:color w:val="2F3A8F"/>
          <w:sz w:val="24"/>
          <w:szCs w:val="24"/>
        </w:rPr>
        <w:t xml:space="preserve">Orden del día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sz w:val="22"/>
          <w:szCs w:val="22"/>
        </w:rPr>
        <w:t xml:space="preserve">Lectura y aprobación, si procede, del acta de la junta anterior.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sz w:val="22"/>
          <w:szCs w:val="22"/>
        </w:rPr>
        <w:t xml:space="preserve">Examen y aprobación, si procede, de las cuentas del ejercicio [año].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sz w:val="22"/>
          <w:szCs w:val="22"/>
        </w:rPr>
        <w:t xml:space="preserve">Aprobación, si procede, del presupuesto de gastos para el ejercicio [año] y de las cuotas.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sz w:val="22"/>
          <w:szCs w:val="22"/>
        </w:rPr>
        <w:t xml:space="preserve">Estado del fondo de reserva.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sz w:val="22"/>
          <w:szCs w:val="22"/>
        </w:rPr>
        <w:t xml:space="preserve">Nombramiento o renovación de cargos: presidente, vicepresidente y secretario-administrador.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sz w:val="22"/>
          <w:szCs w:val="22"/>
        </w:rPr>
        <w:t xml:space="preserve">Aprobación, si procede, de la liquidación de deudas de los propietarios morosos y autorización para su reclamación judicial.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sz w:val="22"/>
          <w:szCs w:val="22"/>
        </w:rPr>
        <w:t xml:space="preserve">[Otros asuntos].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sz w:val="22"/>
          <w:szCs w:val="22"/>
        </w:rPr>
        <w:t xml:space="preserve">Ruegos y preguntas.</w:t>
      </w:r>
    </w:p>
    <w:p>
      <w:pPr>
        <w:spacing w:after="120" w:before="240"/>
      </w:pPr>
      <w:r>
        <w:rPr>
          <w:b/>
          <w:bCs/>
          <w:color w:val="2F3A8F"/>
          <w:sz w:val="24"/>
          <w:szCs w:val="24"/>
        </w:rPr>
        <w:t xml:space="preserve">Propietarios que no están al corriente de pago</w:t>
      </w:r>
    </w:p>
    <w:p>
      <w:pPr>
        <w:spacing w:after="120" w:line="300"/>
      </w:pPr>
      <w:r>
        <w:rPr>
          <w:sz w:val="22"/>
          <w:szCs w:val="22"/>
        </w:rPr>
        <w:t xml:space="preserve">Conforme al artículo 16.2 de la Ley de Propiedad Horizontal, se relacionan los propietarios que no están al corriente en el pago de las deudas vencidas con la comunidad: [piso/local – importe]. Se advierte de que, si no las pagan o consignan antes de la junta, podrán participar en ella pero </w:t>
      </w:r>
      <w:r>
        <w:rPr>
          <w:b/>
          <w:bCs/>
          <w:sz w:val="22"/>
          <w:szCs w:val="22"/>
        </w:rPr>
        <w:t xml:space="preserve">sin derecho de voto</w:t>
      </w:r>
      <w:r>
        <w:rPr>
          <w:sz w:val="22"/>
          <w:szCs w:val="22"/>
        </w:rPr>
        <w:t xml:space="preserve"> (artículo 15.2).</w:t>
      </w:r>
    </w:p>
    <w:p>
      <w:pPr>
        <w:spacing w:after="120" w:line="300"/>
      </w:pPr>
      <w:r>
        <w:rPr>
          <w:sz w:val="22"/>
          <w:szCs w:val="22"/>
        </w:rPr>
        <w:t xml:space="preserve">Si no puede asistir, puede delegar su voto en otra persona mediante un escrito firmado (artículo 15.1). Se adjunta modelo de delegación.</w:t>
      </w:r>
    </w:p>
    <w:p/>
    <w:p>
      <w:pPr>
        <w:spacing w:after="120" w:line="300"/>
      </w:pPr>
      <w:r>
        <w:rPr>
          <w:sz w:val="22"/>
          <w:szCs w:val="22"/>
        </w:rPr>
        <w:t xml:space="preserve">En [localidad], a [fecha].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/>
          <w:p/>
          <w:p/>
          <w:p>
            <w:pPr>
              <w:pBdr>
                <w:top w:val="single" w:color="999999" w:sz="4" w:space="4"/>
              </w:pBdr>
              <w:jc w:val="center"/>
            </w:pPr>
            <w:r>
              <w:rPr>
                <w:sz w:val="20"/>
                <w:szCs w:val="20"/>
              </w:rPr>
              <w:t xml:space="preserve">El presidente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/>
          <w:p/>
          <w:p/>
          <w:p>
            <w:pPr>
              <w:pBdr>
                <w:top w:val="single" w:color="999999" w:sz="4" w:space="4"/>
              </w:pBdr>
              <w:jc w:val="center"/>
            </w:pPr>
            <w:r>
              <w:rPr>
                <w:sz w:val="20"/>
                <w:szCs w:val="20"/>
              </w:rPr>
              <w:t xml:space="preserve">El secretario-administrador</w:t>
            </w:r>
          </w:p>
        </w:tc>
      </w:tr>
    </w:tbl>
    <w:p>
      <w:pPr>
        <w:pBdr>
          <w:top w:val="single" w:color="C2560B" w:sz="4" w:space="6"/>
        </w:pBdr>
        <w:spacing w:after="120" w:before="240"/>
      </w:pPr>
      <w:r>
        <w:rPr>
          <w:i/>
          <w:iCs/>
          <w:color w:val="4A5260"/>
          <w:sz w:val="18"/>
          <w:szCs w:val="18"/>
        </w:rPr>
        <w:t xml:space="preserve">Plazo legal: la junta ordinaria debe convocarse con al menos 6 días de antelación (art. 16.3 LPH). La convocatoria se entrega en el domicilio que cada propietario haya designado o, en su defecto, en el piso; si no es posible, se coloca en el tablón de anuncios durante al menos 3 días naturales (art. 9.1.h LPH).</w:t>
      </w:r>
    </w:p>
    <w:sectPr>
      <w:headerReference w:type="default" r:id="rId7"/>
      <w:footerReference w:type="default" r:id="rId8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A5260"/>
        <w:sz w:val="15"/>
        <w:szCs w:val="15"/>
      </w:rPr>
      <w:t xml:space="preserve">Modelo orientativo de AQUITU – Administración de fincas · www.aquitu.es · Adáptalo a los estatutos de tu comunidad.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4A5260"/>
        <w:sz w:val="16"/>
        <w:szCs w:val="16"/>
      </w:rPr>
      <w:t xml:space="preserve">[Nombre de la comunidad de propietarios] · NIF [H-00000000]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convocatoria-junta-ordinaria.docx</dc:title>
  <dc:creator>AQUITU – Administración de fincas</dc:creator>
  <cp:lastModifiedBy>Un-named</cp:lastModifiedBy>
  <cp:revision>1</cp:revision>
  <dcterms:created xsi:type="dcterms:W3CDTF">2026-10-05T18:11:11.813Z</dcterms:created>
  <dcterms:modified xsi:type="dcterms:W3CDTF">2026-10-05T18:11:11.813Z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